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7450"/>
      </w:tblGrid>
      <w:tr w:rsidR="00424780" w:rsidRPr="002B3E6B" w:rsidTr="007547AA">
        <w:trPr>
          <w:trHeight w:val="34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450" w:type="dxa"/>
            <w:vAlign w:val="center"/>
          </w:tcPr>
          <w:p w:rsidR="000B3F5D" w:rsidRPr="002B3E6B" w:rsidRDefault="005B052A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SPOR TOKAT</w:t>
            </w:r>
          </w:p>
        </w:tc>
      </w:tr>
      <w:tr w:rsidR="00424780" w:rsidRPr="002B3E6B" w:rsidTr="007547AA">
        <w:trPr>
          <w:trHeight w:val="32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450" w:type="dxa"/>
            <w:vAlign w:val="center"/>
          </w:tcPr>
          <w:p w:rsidR="00424780" w:rsidRPr="002B3E6B" w:rsidRDefault="005B052A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VALİLİĞİ</w:t>
            </w:r>
          </w:p>
        </w:tc>
      </w:tr>
      <w:tr w:rsidR="00424780" w:rsidRPr="002B3E6B" w:rsidTr="007547AA">
        <w:trPr>
          <w:trHeight w:val="294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450" w:type="dxa"/>
            <w:vAlign w:val="center"/>
          </w:tcPr>
          <w:p w:rsidR="00424780" w:rsidRPr="002B3E6B" w:rsidRDefault="005B052A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r w:rsidRPr="002B3E6B">
              <w:rPr>
                <w:sz w:val="16"/>
                <w:szCs w:val="16"/>
                <w:lang w:val="tr-TR"/>
              </w:rPr>
              <w:t xml:space="preserve">İL </w:t>
            </w:r>
            <w:r>
              <w:rPr>
                <w:sz w:val="16"/>
                <w:szCs w:val="16"/>
                <w:lang w:val="tr-TR"/>
              </w:rPr>
              <w:t>MİLLİ EĞİTİM MÜDÜRLÜĞÜ, TOKAT GENÇLİK VE SPOR İL MÜDÜRLÜĞÜ</w:t>
            </w:r>
          </w:p>
        </w:tc>
      </w:tr>
      <w:tr w:rsidR="00424780" w:rsidRPr="002B3E6B" w:rsidTr="00626F1A">
        <w:trPr>
          <w:trHeight w:val="1030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450" w:type="dxa"/>
            <w:vAlign w:val="center"/>
          </w:tcPr>
          <w:p w:rsidR="005B052A" w:rsidRPr="006523D1" w:rsidRDefault="005B052A" w:rsidP="005B052A">
            <w:pPr>
              <w:spacing w:line="360" w:lineRule="auto"/>
              <w:ind w:left="284"/>
              <w:jc w:val="both"/>
              <w:rPr>
                <w:szCs w:val="24"/>
                <w:lang w:eastAsia="tr-TR"/>
              </w:rPr>
            </w:pPr>
            <w:proofErr w:type="spellStart"/>
            <w:r w:rsidRPr="005B052A">
              <w:rPr>
                <w:sz w:val="16"/>
                <w:szCs w:val="16"/>
                <w:lang w:eastAsia="tr-TR"/>
              </w:rPr>
              <w:t>Toplumsal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bakış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açısına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göre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sportif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faaliyetler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boş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zaman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etkinliği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olarak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görülmektedir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Yapılan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bilimsel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çalışmalar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bu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faaliyetlerin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bireye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topluma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sağladığı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katkılar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ile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boş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zamanlarını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verimli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geçirme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etkinliği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olmaktan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çıkarıp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bireylerin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bilişsel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kültürel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gelişimlerine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olumlu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yönde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katkı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sağladığını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gözler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önüne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sermiştir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Sportif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faaliyetler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kültürel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sosyal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boyutu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ile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de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birlik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beraberlik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paylaşma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duygularının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geliştirilmesine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katkı</w:t>
            </w:r>
            <w:proofErr w:type="spellEnd"/>
            <w:r w:rsidRPr="005B052A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B052A">
              <w:rPr>
                <w:sz w:val="16"/>
                <w:szCs w:val="16"/>
                <w:lang w:eastAsia="tr-TR"/>
              </w:rPr>
              <w:t>sağlamaktadır</w:t>
            </w:r>
            <w:proofErr w:type="spellEnd"/>
            <w:r>
              <w:rPr>
                <w:szCs w:val="24"/>
                <w:lang w:eastAsia="tr-TR"/>
              </w:rPr>
              <w:t>.</w:t>
            </w:r>
          </w:p>
          <w:p w:rsidR="00424780" w:rsidRPr="002B3E6B" w:rsidRDefault="00424780" w:rsidP="005B05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1715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450" w:type="dxa"/>
            <w:vAlign w:val="center"/>
          </w:tcPr>
          <w:p w:rsidR="003652D6" w:rsidRPr="003652D6" w:rsidRDefault="003652D6" w:rsidP="003652D6">
            <w:pPr>
              <w:tabs>
                <w:tab w:val="left" w:pos="1575"/>
              </w:tabs>
              <w:spacing w:line="360" w:lineRule="auto"/>
              <w:ind w:left="284"/>
              <w:jc w:val="both"/>
              <w:rPr>
                <w:sz w:val="16"/>
                <w:szCs w:val="16"/>
                <w:lang w:eastAsia="tr-TR"/>
              </w:rPr>
            </w:pPr>
            <w:proofErr w:type="spellStart"/>
            <w:r w:rsidRPr="003652D6">
              <w:rPr>
                <w:sz w:val="16"/>
                <w:szCs w:val="16"/>
                <w:lang w:eastAsia="tr-TR"/>
              </w:rPr>
              <w:t>İlimiz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Merkez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İlçe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belde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köylerimizdekieğitim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öğretim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gören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çocuklarımızın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gençlerimizin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en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az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bir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spor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branşı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ile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tanışmalarını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ayrıca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sporun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hayatlarında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bir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yaşam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felsefesi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haline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getirmelerini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amaçlanmaktadır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>.</w:t>
            </w:r>
          </w:p>
          <w:p w:rsidR="00424780" w:rsidRPr="00090D1E" w:rsidRDefault="00424780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29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3652D6" w:rsidRPr="003652D6" w:rsidRDefault="003652D6" w:rsidP="003652D6">
            <w:pPr>
              <w:spacing w:line="360" w:lineRule="auto"/>
              <w:rPr>
                <w:bCs/>
                <w:sz w:val="16"/>
                <w:szCs w:val="16"/>
                <w:lang w:eastAsia="tr-TR"/>
              </w:rPr>
            </w:pP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Zihinsel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bedensel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ruhsal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sağlık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gelişimlerine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katkı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sağlanması,Medeni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cesaret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liderlik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olgusu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gelişimlerine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katkı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sağlanması,Spor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alanındaki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yeteneklerinin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farkına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varmalarının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Kötü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alışkanlıklardan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uzak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duran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serbest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zamanlarını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iyi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değerlendiren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bireyler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olarak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yetişmelerinin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sağlanması,Dostluk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arkadaşlık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sorumluluk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 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kendini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tanıma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kendine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güven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biz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duygusu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fair-play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gibi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duyguları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kazanmalarının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>,</w:t>
            </w:r>
          </w:p>
          <w:p w:rsidR="00424780" w:rsidRPr="003652D6" w:rsidRDefault="00424780" w:rsidP="007547AA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3652D6" w:rsidRPr="003652D6" w:rsidRDefault="003652D6" w:rsidP="003652D6">
            <w:pPr>
              <w:spacing w:line="360" w:lineRule="auto"/>
              <w:rPr>
                <w:sz w:val="16"/>
                <w:szCs w:val="16"/>
                <w:lang w:eastAsia="tr-TR"/>
              </w:rPr>
            </w:pP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Kritik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düşünme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problem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çözme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amaçlara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yönelik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işbirlikçi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çalışılması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gerektiğini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öğrenme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becerilerinin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gelişmesinin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sağlanması,Sportif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faaliyetler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ile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sağlıklı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aktivite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alışkanlığı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kazandırılması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böylece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en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uygun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fiziksel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kapasiteyi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sanatsal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beceriyi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hayat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boyu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devam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ettirmelerinin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sağlanması,</w:t>
            </w:r>
            <w:r w:rsidRPr="003652D6">
              <w:rPr>
                <w:sz w:val="16"/>
                <w:szCs w:val="16"/>
                <w:lang w:eastAsia="tr-TR"/>
              </w:rPr>
              <w:t>Öğretmenlerimize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antrenörlerimize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;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mesleki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açıdan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gelişim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yenilik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yeterlilik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sosyal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kültürel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vb.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alanlarda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destek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sz w:val="16"/>
                <w:szCs w:val="16"/>
                <w:lang w:eastAsia="tr-TR"/>
              </w:rPr>
              <w:t>sağlanması</w:t>
            </w:r>
            <w:proofErr w:type="spellEnd"/>
            <w:r w:rsidRPr="003652D6"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hedeflenmektedir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>.</w:t>
            </w:r>
          </w:p>
          <w:p w:rsidR="00424780" w:rsidRPr="00090D1E" w:rsidRDefault="00424780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81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450" w:type="dxa"/>
            <w:vAlign w:val="center"/>
          </w:tcPr>
          <w:p w:rsidR="00424780" w:rsidRPr="002B3E6B" w:rsidRDefault="003652D6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17.12.</w:t>
            </w:r>
            <w:r w:rsidR="00424780">
              <w:rPr>
                <w:sz w:val="16"/>
                <w:szCs w:val="16"/>
                <w:lang w:val="tr-TR"/>
              </w:rPr>
              <w:t>201</w:t>
            </w:r>
            <w:r>
              <w:rPr>
                <w:sz w:val="16"/>
                <w:szCs w:val="16"/>
                <w:lang w:val="tr-TR"/>
              </w:rPr>
              <w:t>8</w:t>
            </w:r>
          </w:p>
        </w:tc>
      </w:tr>
      <w:tr w:rsidR="00424780" w:rsidRPr="002B3E6B" w:rsidTr="007547AA">
        <w:trPr>
          <w:trHeight w:val="31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 w:rsidRPr="002B3E6B"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24780" w:rsidRPr="002B3E6B" w:rsidTr="007547AA">
        <w:trPr>
          <w:trHeight w:val="368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Bütün eğitim kademelerinden öğrenciler ve yetişkinler.</w:t>
            </w:r>
          </w:p>
        </w:tc>
      </w:tr>
      <w:tr w:rsidR="00424780" w:rsidRPr="002B3E6B" w:rsidTr="007547AA">
        <w:trPr>
          <w:trHeight w:val="299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3652D6" w:rsidRPr="003652D6" w:rsidRDefault="003652D6" w:rsidP="003652D6">
            <w:pPr>
              <w:shd w:val="clear" w:color="auto" w:fill="FFFFFF"/>
              <w:spacing w:line="360" w:lineRule="auto"/>
              <w:ind w:left="284"/>
              <w:jc w:val="both"/>
              <w:rPr>
                <w:color w:val="252525"/>
                <w:sz w:val="16"/>
                <w:szCs w:val="16"/>
                <w:lang w:eastAsia="tr-TR"/>
              </w:rPr>
            </w:pPr>
            <w:r>
              <w:rPr>
                <w:color w:val="252525"/>
                <w:sz w:val="16"/>
                <w:szCs w:val="16"/>
                <w:lang w:eastAsia="tr-TR"/>
              </w:rPr>
              <w:t xml:space="preserve">          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Proje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ile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öğrencilerimizin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sporla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ilgilenmesinin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teşvik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edilmesi,dostluk,arkadaşlık,sorumluluk,kendini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tanıma,kendine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güven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estetik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değer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gibi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duyguların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kazanılması,kritik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düşünme,problem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çözümü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bu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amaçlara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yönelik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iş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birlikçi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çalışılması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gerektiğini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öğrenme,sportif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faaliyetler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ile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öğrencilere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sağlıklı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aktivite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alışkanlığı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kazandırılması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en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uygun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fiziksel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kapasiteyi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hayat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boyu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devam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ettirerek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korunması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color w:val="252525"/>
                <w:sz w:val="16"/>
                <w:szCs w:val="16"/>
                <w:lang w:eastAsia="tr-TR"/>
              </w:rPr>
              <w:t>hedeflenmektedir</w:t>
            </w:r>
            <w:proofErr w:type="spellEnd"/>
            <w:r w:rsidRPr="003652D6">
              <w:rPr>
                <w:color w:val="252525"/>
                <w:sz w:val="16"/>
                <w:szCs w:val="16"/>
                <w:lang w:eastAsia="tr-TR"/>
              </w:rPr>
              <w:t>.</w:t>
            </w:r>
          </w:p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3652D6" w:rsidTr="007547AA">
        <w:trPr>
          <w:trHeight w:val="153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450" w:type="dxa"/>
            <w:vAlign w:val="center"/>
          </w:tcPr>
          <w:p w:rsidR="003652D6" w:rsidRDefault="003652D6" w:rsidP="003652D6">
            <w:pPr>
              <w:spacing w:line="360" w:lineRule="auto"/>
              <w:ind w:left="284" w:firstLine="424"/>
              <w:jc w:val="both"/>
              <w:rPr>
                <w:bCs/>
                <w:sz w:val="16"/>
                <w:szCs w:val="16"/>
                <w:lang w:eastAsia="tr-TR"/>
              </w:rPr>
            </w:pP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Fiziksel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etkinlik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oyunları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geleneksel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çocuk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oyunları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şenliği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kapsamında</w:t>
            </w:r>
            <w:proofErr w:type="gramStart"/>
            <w:r w:rsidRPr="003652D6">
              <w:rPr>
                <w:bCs/>
                <w:sz w:val="16"/>
                <w:szCs w:val="16"/>
                <w:lang w:eastAsia="tr-TR"/>
              </w:rPr>
              <w:t>;yarışmaniteliği</w:t>
            </w:r>
            <w:proofErr w:type="spellEnd"/>
            <w:proofErr w:type="gram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olmadan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katılım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planda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tutularak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anaokulu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ilkokullarda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temel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spor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eğitimiçerçevesinde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performans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rekabete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dayalı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olmayan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çok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yönlü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oyunsal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etkinlikler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şeklinde,festival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ortamında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etkinliklerdüzenlenecektir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bCs/>
                <w:sz w:val="16"/>
                <w:szCs w:val="16"/>
                <w:lang w:eastAsia="tr-TR"/>
              </w:rPr>
              <w:t xml:space="preserve">   </w:t>
            </w:r>
          </w:p>
          <w:p w:rsidR="003652D6" w:rsidRPr="003652D6" w:rsidRDefault="003652D6" w:rsidP="003652D6">
            <w:pPr>
              <w:spacing w:line="360" w:lineRule="auto"/>
              <w:ind w:left="284" w:firstLine="424"/>
              <w:jc w:val="both"/>
              <w:rPr>
                <w:bCs/>
                <w:sz w:val="16"/>
                <w:szCs w:val="16"/>
                <w:lang w:eastAsia="tr-TR"/>
              </w:rPr>
            </w:pPr>
            <w:r w:rsidRPr="003652D6">
              <w:rPr>
                <w:bCs/>
                <w:sz w:val="16"/>
                <w:szCs w:val="16"/>
                <w:lang w:eastAsia="tr-TR"/>
              </w:rPr>
              <w:t>“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Spor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Tokat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”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projesi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kapsamında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ortaokul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liselerde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öğrencilerimizin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okul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sporfaaliyetlerine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katılımlarının</w:t>
            </w:r>
            <w:proofErr w:type="spellEnd"/>
            <w:r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projeye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katılanlara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öğrenci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sporcu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lisansı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okul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lisansı</w:t>
            </w:r>
            <w:proofErr w:type="spellEnd"/>
            <w:proofErr w:type="gramStart"/>
            <w:r w:rsidRPr="003652D6">
              <w:rPr>
                <w:bCs/>
                <w:sz w:val="16"/>
                <w:szCs w:val="16"/>
                <w:lang w:eastAsia="tr-TR"/>
              </w:rPr>
              <w:t>)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çıkartılarak</w:t>
            </w:r>
            <w:proofErr w:type="spellEnd"/>
            <w:proofErr w:type="gram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projeye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katılan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okul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öğrenci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sayılarının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tespit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edilmesi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katılım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gösterecekçocuklarda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cinsiyet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eşitliğine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dikkat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edilerek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varsa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engelli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kaynaştırma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öğrenciler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pozitifayrımcılığa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tabi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tutularak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katılımlarının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sağlanması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652D6">
              <w:rPr>
                <w:bCs/>
                <w:sz w:val="16"/>
                <w:szCs w:val="16"/>
                <w:lang w:eastAsia="tr-TR"/>
              </w:rPr>
              <w:t>hedeflenmektedir</w:t>
            </w:r>
            <w:proofErr w:type="spellEnd"/>
            <w:r w:rsidRPr="003652D6">
              <w:rPr>
                <w:bCs/>
                <w:sz w:val="16"/>
                <w:szCs w:val="16"/>
                <w:lang w:eastAsia="tr-TR"/>
              </w:rPr>
              <w:t>.</w:t>
            </w:r>
          </w:p>
          <w:p w:rsidR="00424780" w:rsidRPr="003652D6" w:rsidRDefault="00424780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Projenin Maliyeti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1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8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  <w:r>
              <w:rPr>
                <w:b/>
                <w:sz w:val="16"/>
                <w:szCs w:val="16"/>
                <w:lang w:val="tr-TR" w:eastAsia="tr-TR"/>
              </w:rPr>
              <w:t>Valilik özel idare bütçesi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424780" w:rsidP="007547AA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  <w:p w:rsidR="00424780" w:rsidRPr="002B3E6B" w:rsidRDefault="00424780" w:rsidP="007547AA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A44CA0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Proje ile spora bakış açısı değişecek, spor bir yaşam felsefesi olarak hayatlarına yerleşecek.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A44CA0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Proje ile ilimizden ulusal ve uluslar arası başarılara imza atacak sporcularımız yetiştirilecek ve spor turizminin gelişimi sağlanacak.</w:t>
            </w:r>
          </w:p>
        </w:tc>
      </w:tr>
    </w:tbl>
    <w:p w:rsidR="00424780" w:rsidRPr="00C777FF" w:rsidRDefault="00424780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583F2E" w:rsidRDefault="00583F2E"/>
    <w:sectPr w:rsidR="00583F2E" w:rsidSect="009B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048B"/>
    <w:multiLevelType w:val="hybridMultilevel"/>
    <w:tmpl w:val="052E2EBA"/>
    <w:lvl w:ilvl="0" w:tplc="E5DC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80"/>
    <w:rsid w:val="000B3F5D"/>
    <w:rsid w:val="001F2A49"/>
    <w:rsid w:val="003652D6"/>
    <w:rsid w:val="00424780"/>
    <w:rsid w:val="00583F2E"/>
    <w:rsid w:val="005B052A"/>
    <w:rsid w:val="00626F1A"/>
    <w:rsid w:val="009B51BC"/>
    <w:rsid w:val="00A44CA0"/>
    <w:rsid w:val="00CA1E3C"/>
    <w:rsid w:val="00CE60E5"/>
    <w:rsid w:val="00E1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notebook</cp:lastModifiedBy>
  <cp:revision>2</cp:revision>
  <cp:lastPrinted>2019-10-18T13:01:00Z</cp:lastPrinted>
  <dcterms:created xsi:type="dcterms:W3CDTF">2020-11-15T15:23:00Z</dcterms:created>
  <dcterms:modified xsi:type="dcterms:W3CDTF">2020-11-15T15:23:00Z</dcterms:modified>
</cp:coreProperties>
</file>