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C0" w:rsidRDefault="00B25DC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2024 YILI PERSONELİN İL İÇİ İSTEĞE BAĞLI YER DEĞİŞTİRME KILAVUZU</w:t>
      </w: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25DC0" w:rsidTr="00DF302C">
        <w:tc>
          <w:tcPr>
            <w:tcW w:w="9212" w:type="dxa"/>
          </w:tcPr>
          <w:p w:rsidR="00B25DC0" w:rsidRDefault="00B25DC0" w:rsidP="00B25DC0">
            <w:pPr>
              <w:tabs>
                <w:tab w:val="left" w:pos="2460"/>
                <w:tab w:val="center" w:pos="4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17B84F" wp14:editId="4F069AF8">
                  <wp:extent cx="1762125" cy="1762125"/>
                  <wp:effectExtent l="0" t="0" r="9525" b="9525"/>
                  <wp:docPr id="1" name="Resim 1" descr="C:\Users\E.DuduDURAN\AppData\Local\Microsoft\Windows\INetCache\Content.Word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.DuduDURAN\AppData\Local\Microsoft\Windows\INetCache\Content.Word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Pr="00807BDA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7BDA">
              <w:rPr>
                <w:rFonts w:ascii="Times New Roman" w:hAnsi="Times New Roman" w:cs="Times New Roman"/>
                <w:b/>
                <w:sz w:val="36"/>
                <w:szCs w:val="24"/>
              </w:rPr>
              <w:t>T.C.</w:t>
            </w:r>
          </w:p>
          <w:p w:rsidR="00B25DC0" w:rsidRPr="00807BDA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7BDA">
              <w:rPr>
                <w:rFonts w:ascii="Times New Roman" w:hAnsi="Times New Roman" w:cs="Times New Roman"/>
                <w:b/>
                <w:sz w:val="36"/>
                <w:szCs w:val="24"/>
              </w:rPr>
              <w:t>TOKAT VALİLİĞİ</w:t>
            </w: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7BDA">
              <w:rPr>
                <w:rFonts w:ascii="Times New Roman" w:hAnsi="Times New Roman" w:cs="Times New Roman"/>
                <w:b/>
                <w:sz w:val="36"/>
                <w:szCs w:val="24"/>
              </w:rPr>
              <w:t>İl Milli Eğitim Müdürlüğü</w:t>
            </w: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807BDA" w:rsidRP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4"/>
            </w:tblGrid>
            <w:tr w:rsidR="00807BDA" w:rsidTr="00DF302C">
              <w:trPr>
                <w:trHeight w:val="1278"/>
                <w:jc w:val="center"/>
              </w:trPr>
              <w:tc>
                <w:tcPr>
                  <w:tcW w:w="4744" w:type="dxa"/>
                </w:tcPr>
                <w:p w:rsidR="00DF302C" w:rsidRDefault="00DF302C" w:rsidP="00B25DC0">
                  <w:pPr>
                    <w:tabs>
                      <w:tab w:val="left" w:pos="2460"/>
                      <w:tab w:val="center" w:pos="449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7BDA" w:rsidRDefault="00807BDA" w:rsidP="00B25DC0">
                  <w:pPr>
                    <w:tabs>
                      <w:tab w:val="left" w:pos="2460"/>
                      <w:tab w:val="center" w:pos="449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EĞİTİM ÖĞRETİM HİZMET</w:t>
                  </w:r>
                  <w:r w:rsidR="00827A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SINIFI DIŞINDAKİ PERSONELİN İL İÇİ </w:t>
                  </w:r>
                  <w:r w:rsidR="00293E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İSTEĞE BAĞLI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YER DEĞİŞTİRME KILAVUZU</w:t>
                  </w:r>
                </w:p>
                <w:p w:rsidR="00DF302C" w:rsidRDefault="00DF302C" w:rsidP="00B25DC0">
                  <w:pPr>
                    <w:tabs>
                      <w:tab w:val="left" w:pos="2460"/>
                      <w:tab w:val="center" w:pos="449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BDA" w:rsidRDefault="00807BDA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C0" w:rsidRDefault="00B25DC0" w:rsidP="00B25DC0">
            <w:pPr>
              <w:tabs>
                <w:tab w:val="left" w:pos="2460"/>
                <w:tab w:val="center" w:pos="4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DC0" w:rsidRDefault="00B25DC0" w:rsidP="00B25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C9" w:rsidRDefault="00B068C9" w:rsidP="00B06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1-</w:t>
      </w:r>
      <w:r w:rsidR="00B169F3"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İLGİLİ MEVZUAT</w:t>
      </w:r>
    </w:p>
    <w:p w:rsidR="00B068C9" w:rsidRPr="00B068C9" w:rsidRDefault="00B068C9" w:rsidP="00B068C9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8C9">
        <w:rPr>
          <w:rFonts w:ascii="Times New Roman" w:hAnsi="Times New Roman" w:cs="Times New Roman"/>
          <w:sz w:val="24"/>
          <w:szCs w:val="24"/>
        </w:rPr>
        <w:t>657 Sayılı Devlet Memurları Kanunu.</w:t>
      </w:r>
    </w:p>
    <w:p w:rsidR="00B068C9" w:rsidRDefault="00DF302C" w:rsidP="00B068C9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Personelinin Görevde Yükselme, Unvan Değişikliği ve Yer Değiştirme Suretiyle Atanması Hakkında Yönetmelik.</w:t>
      </w:r>
    </w:p>
    <w:p w:rsidR="00DF302C" w:rsidRDefault="00DF302C" w:rsidP="00DF3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2-</w:t>
      </w: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BAŞVURU İŞ VE İŞLEMLERİ</w:t>
      </w:r>
    </w:p>
    <w:p w:rsidR="00DF302C" w:rsidRDefault="00DF302C" w:rsidP="00DF3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Adaylar en fazla 10 (on) tercihte bulunabilecektir.</w:t>
      </w:r>
    </w:p>
    <w:p w:rsidR="00DF302C" w:rsidRDefault="00DF302C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F302C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Atamalar Yönetmelik gereği sırasıyla; hizmet süresi fazla olanlara, daha üst öğrenimi bitirmiş olanlara, üst öğrenim mezuniyet notu yüksek olana öncelik </w:t>
      </w:r>
      <w:r w:rsidR="00A76988">
        <w:rPr>
          <w:rFonts w:ascii="Times New Roman" w:hAnsi="Times New Roman" w:cs="Times New Roman"/>
          <w:sz w:val="24"/>
          <w:szCs w:val="24"/>
        </w:rPr>
        <w:t xml:space="preserve">verilecek şekilde </w:t>
      </w:r>
      <w:r w:rsidR="00721390">
        <w:rPr>
          <w:rFonts w:ascii="Times New Roman" w:hAnsi="Times New Roman" w:cs="Times New Roman"/>
          <w:sz w:val="24"/>
          <w:szCs w:val="24"/>
        </w:rPr>
        <w:t>yapılır. Eşitliğin bozulması halinde kura sonucuna göre belirlenir.</w:t>
      </w:r>
    </w:p>
    <w:p w:rsidR="00721390" w:rsidRDefault="00721390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Hizmet süresi hesaplamalarında son tarih olarak </w:t>
      </w:r>
      <w:r w:rsidRPr="00721390">
        <w:rPr>
          <w:rFonts w:ascii="Times New Roman" w:hAnsi="Times New Roman" w:cs="Times New Roman"/>
          <w:b/>
          <w:sz w:val="24"/>
          <w:szCs w:val="24"/>
        </w:rPr>
        <w:t>30 Eylül</w:t>
      </w:r>
      <w:r>
        <w:rPr>
          <w:rFonts w:ascii="Times New Roman" w:hAnsi="Times New Roman" w:cs="Times New Roman"/>
          <w:sz w:val="24"/>
          <w:szCs w:val="24"/>
        </w:rPr>
        <w:t xml:space="preserve"> tarihi baz alınacak, yine hizmet süresi hesabında sadece devlet memurluğunda geçen hizmet süreleri değerlendirilecektir. (Devlet memuru iken yapılan askerlik görevi hizmet süresine dahildir.)</w:t>
      </w:r>
    </w:p>
    <w:p w:rsidR="00721390" w:rsidRDefault="00721390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Başvurularda MEBBİS’te kayıtlı bilgiler esas alınacağından başvuru yapılmadan önce MEBBİS kayıtlarının incelenmesi, varsa hatalı kayıtların düzeltilmesi gerekmektedir.</w:t>
      </w:r>
    </w:p>
    <w:p w:rsidR="00721390" w:rsidRDefault="00721390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Verilen münhal kadrolar il-ilçe milli eğitim müdürlüğünde ve bağlı okul ve kurumlarda kullanılacak, kesinlikle ilçeler arası kadro aktarımı yapılamayacaktır.</w:t>
      </w:r>
    </w:p>
    <w:p w:rsidR="00721390" w:rsidRDefault="00721390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0C4F">
        <w:rPr>
          <w:rFonts w:ascii="Times New Roman" w:hAnsi="Times New Roman" w:cs="Times New Roman"/>
          <w:sz w:val="24"/>
          <w:szCs w:val="24"/>
        </w:rPr>
        <w:t xml:space="preserve">Duyuruda belirtilen tarihler dışında kesinlikle müracaat kabul edilmeyecek, sonradan herhangi bir değişiklik yapma söz konusu olmayacaktır. Ancak atamalar </w:t>
      </w:r>
      <w:r w:rsidR="009C0525">
        <w:rPr>
          <w:rFonts w:ascii="Times New Roman" w:hAnsi="Times New Roman" w:cs="Times New Roman"/>
          <w:sz w:val="24"/>
          <w:szCs w:val="24"/>
        </w:rPr>
        <w:t xml:space="preserve">gerçekleştirilmeden önce başvurusunu yapan veya tercihlerini iptal ettirmek isteyenlerin, dilekçe ile müracaat etmeleri halinde </w:t>
      </w:r>
      <w:r w:rsidR="00E317B2">
        <w:rPr>
          <w:rFonts w:ascii="Times New Roman" w:hAnsi="Times New Roman" w:cs="Times New Roman"/>
          <w:sz w:val="24"/>
          <w:szCs w:val="24"/>
        </w:rPr>
        <w:t xml:space="preserve">istekleri değerlendirilecektir. </w:t>
      </w:r>
    </w:p>
    <w:p w:rsidR="009C0525" w:rsidRDefault="009C0525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7B2">
        <w:rPr>
          <w:rFonts w:ascii="Times New Roman" w:hAnsi="Times New Roman" w:cs="Times New Roman"/>
          <w:sz w:val="24"/>
          <w:szCs w:val="24"/>
        </w:rPr>
        <w:t xml:space="preserve">Başvurular yer değiştirme takviminde belirtilen </w:t>
      </w:r>
      <w:r w:rsidR="00E317B2" w:rsidRPr="00E317B2">
        <w:rPr>
          <w:rFonts w:ascii="Times New Roman" w:hAnsi="Times New Roman" w:cs="Times New Roman"/>
          <w:b/>
          <w:sz w:val="24"/>
          <w:szCs w:val="24"/>
        </w:rPr>
        <w:t xml:space="preserve">son gün saat 17.00’de sona ereceğinden </w:t>
      </w:r>
      <w:r w:rsidR="00E317B2">
        <w:rPr>
          <w:rFonts w:ascii="Times New Roman" w:hAnsi="Times New Roman" w:cs="Times New Roman"/>
          <w:sz w:val="24"/>
          <w:szCs w:val="24"/>
        </w:rPr>
        <w:t xml:space="preserve">bu saatten sonra herhangi bir eksiklik veya fazlalık nedeniyle düzeltme yapılmayacaktır. Herhangi bir yanlışlık ya da eksiklik sebebiyle başvurusu reddedilenlerin yeniden müracaat etmeleri halinde, süre açısından mağduriyet yaşamamaları için müracaatlarını </w:t>
      </w:r>
      <w:r w:rsidR="00E317B2" w:rsidRPr="00E317B2">
        <w:rPr>
          <w:rFonts w:ascii="Times New Roman" w:hAnsi="Times New Roman" w:cs="Times New Roman"/>
          <w:b/>
          <w:sz w:val="24"/>
          <w:szCs w:val="24"/>
        </w:rPr>
        <w:t>son gün son dakikalara bırakmamaları</w:t>
      </w:r>
      <w:r w:rsidR="00E317B2">
        <w:rPr>
          <w:rFonts w:ascii="Times New Roman" w:hAnsi="Times New Roman" w:cs="Times New Roman"/>
          <w:sz w:val="24"/>
          <w:szCs w:val="24"/>
        </w:rPr>
        <w:t xml:space="preserve"> gerekmektedir.  </w:t>
      </w:r>
    </w:p>
    <w:p w:rsidR="00E317B2" w:rsidRDefault="00E317B2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317B2">
        <w:rPr>
          <w:rFonts w:ascii="Times New Roman" w:hAnsi="Times New Roman" w:cs="Times New Roman"/>
          <w:b/>
          <w:sz w:val="24"/>
          <w:szCs w:val="24"/>
        </w:rPr>
        <w:t>2.8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1531" w:rsidRPr="00341531">
        <w:rPr>
          <w:rFonts w:ascii="Times New Roman" w:hAnsi="Times New Roman" w:cs="Times New Roman"/>
          <w:sz w:val="24"/>
          <w:szCs w:val="24"/>
        </w:rPr>
        <w:t>Yapılan</w:t>
      </w:r>
      <w:r w:rsidR="0034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531" w:rsidRPr="00341531">
        <w:rPr>
          <w:rFonts w:ascii="Times New Roman" w:hAnsi="Times New Roman" w:cs="Times New Roman"/>
          <w:sz w:val="24"/>
          <w:szCs w:val="24"/>
        </w:rPr>
        <w:t xml:space="preserve">atamalar </w:t>
      </w:r>
      <w:r w:rsidR="00341531">
        <w:rPr>
          <w:rFonts w:ascii="Times New Roman" w:hAnsi="Times New Roman" w:cs="Times New Roman"/>
          <w:sz w:val="24"/>
          <w:szCs w:val="24"/>
        </w:rPr>
        <w:t>sonucunda belirlenen kontenjanların dolması ve bu sürecin bitiminden sonra boşalacak olan kadrolara duyuru yapılmadığı sürece münferit teklif yapılmayacaktır.</w:t>
      </w:r>
    </w:p>
    <w:p w:rsidR="00341531" w:rsidRDefault="00341531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Kamu Hizmetlerinin Sunumunda Uygulanacak Usul ve Esaslara İlişkin Yönetmeliğin “Gerçeğe aykırı belge verilmesi veya beyanda bulunulması” başlıklı bölümünün 9. </w:t>
      </w:r>
      <w:r w:rsidR="00594D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addesine </w:t>
      </w:r>
      <w:r w:rsidR="00594DEF">
        <w:rPr>
          <w:rFonts w:ascii="Times New Roman" w:hAnsi="Times New Roman" w:cs="Times New Roman"/>
          <w:sz w:val="24"/>
          <w:szCs w:val="24"/>
        </w:rPr>
        <w:t>göre; gerçeğe aykırı belge verenler ya da beyanda bulunanlar hakkında Valiliğimizce yasal işlem yapılacağı hususunun</w:t>
      </w:r>
      <w:r w:rsidR="00B169F3">
        <w:rPr>
          <w:rFonts w:ascii="Times New Roman" w:hAnsi="Times New Roman" w:cs="Times New Roman"/>
          <w:sz w:val="24"/>
          <w:szCs w:val="24"/>
        </w:rPr>
        <w:t xml:space="preserve">, </w:t>
      </w:r>
      <w:r w:rsidR="00594DEF">
        <w:rPr>
          <w:rFonts w:ascii="Times New Roman" w:hAnsi="Times New Roman" w:cs="Times New Roman"/>
          <w:sz w:val="24"/>
          <w:szCs w:val="24"/>
        </w:rPr>
        <w:t xml:space="preserve">başvuru sahiplerince bilinmesi ve ilgili Mevzuat ve açıklamalar doğrultusunda gerekli titizliğin gösterilmesi gerekmektedir. </w:t>
      </w:r>
    </w:p>
    <w:p w:rsidR="00594DEF" w:rsidRDefault="00594DEF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Duyuru ve atama süreci içerisinde Müdürlüğümüz tarafından yapılacak değişiklikler ve açıklamalar </w:t>
      </w:r>
      <w:r w:rsidR="00B169F3">
        <w:rPr>
          <w:rFonts w:ascii="Times New Roman" w:hAnsi="Times New Roman" w:cs="Times New Roman"/>
          <w:sz w:val="24"/>
          <w:szCs w:val="24"/>
        </w:rPr>
        <w:t xml:space="preserve">ile yapılacak ek duyurular </w:t>
      </w:r>
      <w:hyperlink r:id="rId10" w:history="1">
        <w:r w:rsidR="00B169F3" w:rsidRPr="005053AE">
          <w:rPr>
            <w:rStyle w:val="Kpr"/>
            <w:rFonts w:ascii="Times New Roman" w:hAnsi="Times New Roman" w:cs="Times New Roman"/>
            <w:sz w:val="24"/>
            <w:szCs w:val="24"/>
          </w:rPr>
          <w:t>http://tokat.meb.gov.tr</w:t>
        </w:r>
      </w:hyperlink>
      <w:r w:rsidR="00B169F3">
        <w:rPr>
          <w:rFonts w:ascii="Times New Roman" w:hAnsi="Times New Roman" w:cs="Times New Roman"/>
          <w:sz w:val="24"/>
          <w:szCs w:val="24"/>
        </w:rPr>
        <w:t xml:space="preserve"> adresinde yayınlanarak, atamalar yeni duruma göre yapılacaktır. </w:t>
      </w:r>
    </w:p>
    <w:p w:rsidR="00B169F3" w:rsidRDefault="00B169F3" w:rsidP="00DF302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3-</w:t>
      </w: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F87BA1">
        <w:rPr>
          <w:rFonts w:ascii="Times New Roman" w:hAnsi="Times New Roman" w:cs="Times New Roman"/>
          <w:b/>
          <w:sz w:val="24"/>
          <w:szCs w:val="24"/>
          <w:highlight w:val="lightGray"/>
        </w:rPr>
        <w:t>BAŞVURU ŞARTLA</w:t>
      </w:r>
      <w:r w:rsidR="00F87BA1"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RI</w:t>
      </w:r>
      <w:r w:rsidR="00F87B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69F3" w:rsidRDefault="00B169F3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İlgili Yönetmeliğin “</w:t>
      </w:r>
      <w:r w:rsidRPr="00B169F3">
        <w:rPr>
          <w:rFonts w:ascii="Times New Roman" w:hAnsi="Times New Roman" w:cs="Times New Roman"/>
          <w:sz w:val="24"/>
          <w:szCs w:val="24"/>
        </w:rPr>
        <w:t>MADDE 32 – (1) Bölge hizmetine bağlı yer değiştirme yükümlülüğü bulunanlar hariç, bu Yönetmelik kapsamında bulunan personelden bulundukları kurumda (Değişik ibare:RG-13/1/2018-30300) 30 Eylül tarihi itibarıyla kesintisiz en az üç yıl görev yapanlar, yer değiştirmek üzere başvuruda bulunabilirler.</w:t>
      </w:r>
    </w:p>
    <w:p w:rsidR="00B169F3" w:rsidRDefault="00B169F3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366B" w:rsidRPr="00B1366B">
        <w:rPr>
          <w:rFonts w:ascii="Times New Roman" w:hAnsi="Times New Roman" w:cs="Times New Roman"/>
          <w:sz w:val="24"/>
          <w:szCs w:val="24"/>
        </w:rPr>
        <w:t xml:space="preserve">Bakanlık </w:t>
      </w:r>
      <w:r w:rsidR="00B1366B">
        <w:rPr>
          <w:rFonts w:ascii="Times New Roman" w:hAnsi="Times New Roman" w:cs="Times New Roman"/>
          <w:sz w:val="24"/>
          <w:szCs w:val="24"/>
        </w:rPr>
        <w:t>veya kamu kurum ve kuruluşlarında geçici görevli olanlar ile aylıksız izinli olanlar yer değiştirme başvurusunda bulunabilirler.</w:t>
      </w:r>
    </w:p>
    <w:p w:rsidR="00AF4B42" w:rsidRDefault="00AF4B42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B42">
        <w:rPr>
          <w:rFonts w:ascii="Times New Roman" w:hAnsi="Times New Roman" w:cs="Times New Roman"/>
          <w:sz w:val="24"/>
          <w:szCs w:val="24"/>
        </w:rPr>
        <w:t>Sözleşmeli ve sözleşmeden kadroya geçen personel</w:t>
      </w:r>
      <w:r w:rsidR="004A1548">
        <w:rPr>
          <w:rFonts w:ascii="Times New Roman" w:hAnsi="Times New Roman" w:cs="Times New Roman"/>
          <w:sz w:val="24"/>
          <w:szCs w:val="24"/>
        </w:rPr>
        <w:t>,</w:t>
      </w:r>
      <w:r w:rsidRPr="00AF4B42">
        <w:rPr>
          <w:rFonts w:ascii="Times New Roman" w:hAnsi="Times New Roman" w:cs="Times New Roman"/>
          <w:sz w:val="24"/>
          <w:szCs w:val="24"/>
        </w:rPr>
        <w:t xml:space="preserve"> Sözleşmeli Personel Çalıştırılmasına İlişkin Esaslar'a tabi olduğundan isteğe bağlı yer değişikliği sürecine başvuruda bulunamazlar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6B" w:rsidRDefault="00B1366B" w:rsidP="00DF302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4-</w:t>
      </w: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BAŞVURULARIN/TERCİHLERİN GEÇERSİZ SAYILACAĞI DURUMLAR</w:t>
      </w:r>
    </w:p>
    <w:p w:rsidR="00B1366B" w:rsidRDefault="00B1366B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Gerekli şartları taşımadan yapılan başvurular.</w:t>
      </w:r>
    </w:p>
    <w:p w:rsidR="00B1366B" w:rsidRDefault="00B1366B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Asılsız, gerçeğe aykırı, yanlış bilgi ve belgeyle yapılan başvurular.</w:t>
      </w:r>
    </w:p>
    <w:p w:rsidR="00B1366B" w:rsidRDefault="00B1366B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10A7" w:rsidRPr="004410A7">
        <w:rPr>
          <w:rFonts w:ascii="Times New Roman" w:hAnsi="Times New Roman" w:cs="Times New Roman"/>
          <w:sz w:val="24"/>
          <w:szCs w:val="24"/>
        </w:rPr>
        <w:t xml:space="preserve">Süresi içinde </w:t>
      </w:r>
      <w:r w:rsidR="004410A7">
        <w:rPr>
          <w:rFonts w:ascii="Times New Roman" w:hAnsi="Times New Roman" w:cs="Times New Roman"/>
          <w:sz w:val="24"/>
          <w:szCs w:val="24"/>
        </w:rPr>
        <w:t>usule uygun olmayan yapılmayan başvurular.</w:t>
      </w:r>
    </w:p>
    <w:p w:rsidR="004410A7" w:rsidRDefault="004410A7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Bakanlık Atama Alanına uygun olmayan kurum tercihleri.</w:t>
      </w:r>
    </w:p>
    <w:p w:rsidR="004410A7" w:rsidRDefault="004410A7" w:rsidP="00DF302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>5-</w:t>
      </w:r>
      <w:r w:rsidRPr="00F87BA1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BAŞVURU SAHİPLERİNCE YAPILACAK İŞLEMLER</w:t>
      </w:r>
    </w:p>
    <w:p w:rsidR="004410A7" w:rsidRDefault="004410A7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Adaylar atama başvurularını çalışma takviminde belirtilen tarihler arasında ekte yer alan başvuru ve tercih formu ile en fazla 10(on) tercih yapmak üzere yapacaklardır.</w:t>
      </w:r>
    </w:p>
    <w:p w:rsidR="004410A7" w:rsidRDefault="004410A7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Adaylar, başvuru ve tercih formuna, istenen belgeleri ekleyerek, silsile yoluyla Müdürlüğümüze </w:t>
      </w:r>
      <w:r w:rsidR="00995BB7">
        <w:rPr>
          <w:rFonts w:ascii="Times New Roman" w:hAnsi="Times New Roman" w:cs="Times New Roman"/>
          <w:sz w:val="24"/>
          <w:szCs w:val="24"/>
        </w:rPr>
        <w:t>gönderilmesini sağlayacaklardır.</w:t>
      </w:r>
    </w:p>
    <w:p w:rsidR="00995BB7" w:rsidRDefault="00995BB7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Başvuruda bulunacak personel ekleyecekleri güncel hizmet belgelerine kendi el yazılarıyla </w:t>
      </w:r>
      <w:r w:rsidRPr="00995BB7">
        <w:rPr>
          <w:rFonts w:ascii="Times New Roman" w:hAnsi="Times New Roman" w:cs="Times New Roman"/>
          <w:b/>
          <w:sz w:val="24"/>
          <w:szCs w:val="24"/>
        </w:rPr>
        <w:t>“Okudum, Tüm Bilgilerim Eksiksiz Olarak İşlenmiştir.”</w:t>
      </w:r>
      <w:r>
        <w:rPr>
          <w:rFonts w:ascii="Times New Roman" w:hAnsi="Times New Roman" w:cs="Times New Roman"/>
          <w:sz w:val="24"/>
          <w:szCs w:val="24"/>
        </w:rPr>
        <w:t xml:space="preserve"> yazarak imzalayacaklardır.</w:t>
      </w:r>
    </w:p>
    <w:p w:rsidR="00F87BA1" w:rsidRDefault="00F87BA1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Başvuruda bulunacak personel, başvuru ve tercih formunu doldurduktan sonra bilgilerini kontrol ederek 4(dört) nüsha başvuru evrakı alacaktır.</w:t>
      </w:r>
      <w:r w:rsidR="00750472">
        <w:rPr>
          <w:rFonts w:ascii="Times New Roman" w:hAnsi="Times New Roman" w:cs="Times New Roman"/>
          <w:sz w:val="24"/>
          <w:szCs w:val="24"/>
        </w:rPr>
        <w:t xml:space="preserve"> (İl Merkezinde olanlar 3 nüsha başvuru evrakı alacaklardır.) Alınan başvuru evraklarından bir nüshası personelin kendisinde, bir nüshası okul/kurum müdürlüğünde, bir nüshası İlçe Milli Eğitim Müdürlüğünde kalacak, bir nüshası da eklenecek bilgilerle birlikte okul/kurum müdürlüklerince İl Milli Eğitim Müdürlüğümüze gönderilecektir. </w:t>
      </w:r>
    </w:p>
    <w:p w:rsidR="00A0294F" w:rsidRDefault="00A0294F" w:rsidP="00DF302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0294F" w:rsidRDefault="00A0294F" w:rsidP="00DF302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50472" w:rsidRPr="00F87BA1" w:rsidRDefault="00750472" w:rsidP="00DF30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50472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6-</w:t>
      </w:r>
      <w:r w:rsidRPr="00750472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EĞİTİM KURUMLARINCA YAPILACAK İŞLEMLER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14F" w:rsidRDefault="00750472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3514F">
        <w:rPr>
          <w:rFonts w:ascii="Times New Roman" w:hAnsi="Times New Roman" w:cs="Times New Roman"/>
          <w:b/>
          <w:sz w:val="24"/>
          <w:szCs w:val="24"/>
        </w:rPr>
        <w:t>6.1</w:t>
      </w:r>
      <w:r w:rsidRPr="0043514F">
        <w:rPr>
          <w:rFonts w:ascii="Times New Roman" w:hAnsi="Times New Roman" w:cs="Times New Roman"/>
          <w:b/>
          <w:sz w:val="24"/>
          <w:szCs w:val="24"/>
        </w:rPr>
        <w:tab/>
      </w:r>
      <w:r w:rsidR="0043514F" w:rsidRPr="0043514F">
        <w:rPr>
          <w:rFonts w:ascii="Times New Roman" w:hAnsi="Times New Roman" w:cs="Times New Roman"/>
          <w:sz w:val="24"/>
          <w:szCs w:val="24"/>
        </w:rPr>
        <w:t>Milli Eğitim Bakanlığı Personelinin Görevde Yükselme, Unvan Değişikliği ve Yer Değiştirme Suretiyle Atanması Hakkında Yön</w:t>
      </w:r>
      <w:r w:rsidR="0043514F">
        <w:rPr>
          <w:rFonts w:ascii="Times New Roman" w:hAnsi="Times New Roman" w:cs="Times New Roman"/>
          <w:sz w:val="24"/>
          <w:szCs w:val="24"/>
        </w:rPr>
        <w:t>etmelik ile ilgili bu kılavuz titizlikle okunarak, ilgili personele imza karşılığı tebliğ edilecek, imza sirküsü daha sonra istenildiğinde ibraz etmek üzere okul/kurumda saklanacaktır.</w:t>
      </w:r>
    </w:p>
    <w:p w:rsidR="0043514F" w:rsidRDefault="0043514F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1532">
        <w:rPr>
          <w:rFonts w:ascii="Times New Roman" w:hAnsi="Times New Roman" w:cs="Times New Roman"/>
          <w:sz w:val="24"/>
          <w:szCs w:val="24"/>
        </w:rPr>
        <w:t>Başvuruda bulunan personelin atamalarını etkileyen bilgilerinde hata-eksiklik olması durumunda yetki dahilinde gerekli düzeltmeler yapılacaktır.</w:t>
      </w:r>
    </w:p>
    <w:p w:rsidR="00361532" w:rsidRDefault="00361532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Başvuruda bulunanların tercihleri incelenerek, bu tercihlere başvuru şartlarını taşıyıp taşımadıkları, evraklarının eksik ya da hatalı </w:t>
      </w:r>
      <w:r w:rsidR="00AA09E0">
        <w:rPr>
          <w:rFonts w:ascii="Times New Roman" w:hAnsi="Times New Roman" w:cs="Times New Roman"/>
          <w:sz w:val="24"/>
          <w:szCs w:val="24"/>
        </w:rPr>
        <w:t>bilgiler düzelttirilecektir.</w:t>
      </w:r>
    </w:p>
    <w:p w:rsidR="00AA09E0" w:rsidRDefault="00AA09E0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Başvuru evrakları süresi içinde il/ilçe milli eğitim müdürlüğüne elden teslim edilecektir. </w:t>
      </w:r>
    </w:p>
    <w:p w:rsidR="00AA09E0" w:rsidRDefault="00AA09E0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3B5E" w:rsidRPr="002D3B5E">
        <w:rPr>
          <w:rFonts w:ascii="Times New Roman" w:hAnsi="Times New Roman" w:cs="Times New Roman"/>
          <w:sz w:val="24"/>
          <w:szCs w:val="24"/>
        </w:rPr>
        <w:t>Yer değiştirme işlemleri yapılanların</w:t>
      </w:r>
      <w:r w:rsidR="002D3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35C" w:rsidRPr="00C4035C">
        <w:rPr>
          <w:rFonts w:ascii="Times New Roman" w:hAnsi="Times New Roman" w:cs="Times New Roman"/>
          <w:sz w:val="24"/>
          <w:szCs w:val="24"/>
        </w:rPr>
        <w:t xml:space="preserve">görevden ayrılma </w:t>
      </w:r>
      <w:r w:rsidR="00C4035C">
        <w:rPr>
          <w:rFonts w:ascii="Times New Roman" w:hAnsi="Times New Roman" w:cs="Times New Roman"/>
          <w:sz w:val="24"/>
          <w:szCs w:val="24"/>
        </w:rPr>
        <w:t>ve başlama işlemleri yer değiştirme takviminde belirtilen süreler içerisinde sonlandırılacak, ayrılma/başlama tarihleri resmi yazı ile bağlı bulunan ilce milli eğitim müdürlüğüne bildirilecektir.</w:t>
      </w:r>
    </w:p>
    <w:p w:rsidR="00C4035C" w:rsidRPr="00C4035C" w:rsidRDefault="00C4035C" w:rsidP="0043514F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5C" w:rsidRDefault="00C4035C" w:rsidP="0043514F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5C">
        <w:rPr>
          <w:rFonts w:ascii="Times New Roman" w:hAnsi="Times New Roman" w:cs="Times New Roman"/>
          <w:b/>
          <w:sz w:val="24"/>
          <w:szCs w:val="24"/>
          <w:highlight w:val="lightGray"/>
        </w:rPr>
        <w:t>7-</w:t>
      </w:r>
      <w:r w:rsidRPr="00C4035C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İLÇE MİLLİ EĞİTİM MÜDÜRLÜKLERİNCE YAPILACAK İŞLEMLER</w:t>
      </w:r>
    </w:p>
    <w:p w:rsidR="00C4035C" w:rsidRDefault="00C4035C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514F">
        <w:rPr>
          <w:rFonts w:ascii="Times New Roman" w:hAnsi="Times New Roman" w:cs="Times New Roman"/>
          <w:sz w:val="24"/>
          <w:szCs w:val="24"/>
        </w:rPr>
        <w:t>Milli Eğitim Bakanlığı Personelinin Görevde Yükselme, Unvan Değişikliği ve Yer Değiştirme Suretiyle Atanması Hakkında Yön</w:t>
      </w:r>
      <w:r>
        <w:rPr>
          <w:rFonts w:ascii="Times New Roman" w:hAnsi="Times New Roman" w:cs="Times New Roman"/>
          <w:sz w:val="24"/>
          <w:szCs w:val="24"/>
        </w:rPr>
        <w:t>etmelik ile bu kılavuz bağlı bulunan tüm okul/kurumlara gönderilecektir.</w:t>
      </w:r>
    </w:p>
    <w:p w:rsidR="00C4035C" w:rsidRDefault="00C4035C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Başvuruların atamalarını etkileyen bilgilerinde hata-eksiklik olması durumunda yetki d</w:t>
      </w:r>
      <w:r w:rsidR="008819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hilinde gerekli düzeltme yapılacaktır.</w:t>
      </w:r>
    </w:p>
    <w:p w:rsidR="00C4035C" w:rsidRDefault="00C4035C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Başvuru ve tercih formunda herhangi bir hata ya da yanlış evrak tespit edilmesi halinde başvuru reddedilecek, personelin başvuru süresi içerisinde gerekli düzeltmeleri yaparak yeniden başvuru yapması sağlanacaktır.</w:t>
      </w:r>
    </w:p>
    <w:p w:rsidR="00C4035C" w:rsidRDefault="00C4035C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Başvuru evrakları süresi içinde İl Milli Eğitim Müdürlüğümüze elden teslim edilecektir.</w:t>
      </w:r>
    </w:p>
    <w:p w:rsidR="00A0294F" w:rsidRDefault="00A0294F" w:rsidP="0043514F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4035C" w:rsidRPr="00C4035C" w:rsidRDefault="00C4035C" w:rsidP="0043514F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5C">
        <w:rPr>
          <w:rFonts w:ascii="Times New Roman" w:hAnsi="Times New Roman" w:cs="Times New Roman"/>
          <w:b/>
          <w:sz w:val="24"/>
          <w:szCs w:val="24"/>
          <w:highlight w:val="lightGray"/>
        </w:rPr>
        <w:t>8-</w:t>
      </w:r>
      <w:r w:rsidRPr="00C4035C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BAŞVURUDA İSTENECEK BELGELER</w:t>
      </w:r>
    </w:p>
    <w:p w:rsidR="0043514F" w:rsidRDefault="00E86A19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86A19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193E" w:rsidRPr="0088193E">
        <w:rPr>
          <w:rFonts w:ascii="Times New Roman" w:hAnsi="Times New Roman" w:cs="Times New Roman"/>
          <w:sz w:val="24"/>
          <w:szCs w:val="24"/>
        </w:rPr>
        <w:t>Başvuru formu</w:t>
      </w:r>
    </w:p>
    <w:p w:rsidR="0088193E" w:rsidRPr="0088193E" w:rsidRDefault="0088193E" w:rsidP="0043514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193E">
        <w:rPr>
          <w:rFonts w:ascii="Times New Roman" w:hAnsi="Times New Roman" w:cs="Times New Roman"/>
          <w:sz w:val="24"/>
          <w:szCs w:val="24"/>
        </w:rPr>
        <w:t>MEBBİS sisteminden çıkartılmış onaylı hizmet belgesi (okul/kurumundan alınacaktır.)</w:t>
      </w:r>
    </w:p>
    <w:p w:rsidR="00995BB7" w:rsidRDefault="00995BB7" w:rsidP="00995BB7">
      <w:pPr>
        <w:pStyle w:val="Default"/>
      </w:pPr>
    </w:p>
    <w:p w:rsidR="00594DEF" w:rsidRDefault="0088193E" w:rsidP="00881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3E">
        <w:rPr>
          <w:rFonts w:ascii="Times New Roman" w:hAnsi="Times New Roman" w:cs="Times New Roman"/>
          <w:b/>
          <w:sz w:val="24"/>
          <w:szCs w:val="24"/>
          <w:highlight w:val="lightGray"/>
        </w:rPr>
        <w:t>9-</w:t>
      </w:r>
      <w:r w:rsidRPr="0088193E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KILAVUZDA YER ALMAYAN HUSUSLAR</w:t>
      </w:r>
    </w:p>
    <w:p w:rsidR="0088193E" w:rsidRDefault="0088193E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 kılavuzda yer almayan hususlar ile için “1-İlgili Mevzuat” bölümünde yer alan mevzuat hükümleri ile Bakanlığımızca yayınlanan genelge ve yazılardan yararlanılacaktır. 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Kılavuz ve ekleri ile ilgili güncellemeler Müdürlüğümüze ait </w:t>
      </w:r>
      <w:hyperlink r:id="rId11" w:history="1">
        <w:r w:rsidRPr="005053AE">
          <w:rPr>
            <w:rStyle w:val="Kpr"/>
            <w:rFonts w:ascii="Times New Roman" w:hAnsi="Times New Roman" w:cs="Times New Roman"/>
            <w:sz w:val="24"/>
            <w:szCs w:val="24"/>
          </w:rPr>
          <w:t>http://tokat.meb.gov.tr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internet adresimizden takip edilebilecektir.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26">
        <w:rPr>
          <w:rFonts w:ascii="Times New Roman" w:hAnsi="Times New Roman" w:cs="Times New Roman"/>
          <w:b/>
          <w:sz w:val="24"/>
          <w:szCs w:val="24"/>
          <w:highlight w:val="lightGray"/>
        </w:rPr>
        <w:t>10-</w:t>
      </w:r>
      <w:r w:rsidRPr="00964326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İLETİŞİM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Yer değiştirme işlemlerindeki tereddütlerin giderilmesinde İl Milli Eğitim Müdürlüğü Personel Hizmetleri(Personel Atama) birimiyle e-posta, telefon ve faks ile ile</w:t>
      </w:r>
      <w:r w:rsidR="00EB5E84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şim kurulabilir.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64326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4326">
        <w:rPr>
          <w:rFonts w:ascii="Times New Roman" w:hAnsi="Times New Roman" w:cs="Times New Roman"/>
          <w:sz w:val="24"/>
          <w:szCs w:val="24"/>
        </w:rPr>
        <w:t>0 (35</w:t>
      </w:r>
      <w:r w:rsidR="003D0E3F">
        <w:rPr>
          <w:rFonts w:ascii="Times New Roman" w:hAnsi="Times New Roman" w:cs="Times New Roman"/>
          <w:sz w:val="24"/>
          <w:szCs w:val="24"/>
        </w:rPr>
        <w:t>6</w:t>
      </w:r>
      <w:r w:rsidRPr="00964326">
        <w:rPr>
          <w:rFonts w:ascii="Times New Roman" w:hAnsi="Times New Roman" w:cs="Times New Roman"/>
          <w:sz w:val="24"/>
          <w:szCs w:val="24"/>
        </w:rPr>
        <w:t>) 214 10 17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Dahili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313-314</w:t>
      </w:r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hyperlink r:id="rId12" w:history="1">
        <w:r w:rsidRPr="005053AE">
          <w:rPr>
            <w:rStyle w:val="Kpr"/>
            <w:rFonts w:ascii="Times New Roman" w:hAnsi="Times New Roman" w:cs="Times New Roman"/>
            <w:sz w:val="24"/>
            <w:szCs w:val="24"/>
          </w:rPr>
          <w:t>atama60@meb.gov.tr</w:t>
        </w:r>
      </w:hyperlink>
    </w:p>
    <w:p w:rsidR="00964326" w:rsidRDefault="00964326" w:rsidP="0088193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Adresi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053AE">
          <w:rPr>
            <w:rStyle w:val="Kpr"/>
            <w:rFonts w:ascii="Times New Roman" w:hAnsi="Times New Roman" w:cs="Times New Roman"/>
            <w:sz w:val="24"/>
            <w:szCs w:val="24"/>
          </w:rPr>
          <w:t>http://tokat.meb.gov.tr</w:t>
        </w:r>
      </w:hyperlink>
    </w:p>
    <w:p w:rsidR="00964326" w:rsidRDefault="00964326" w:rsidP="00B95A93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Duyuru süresi içerisinde Bakanlığımız tarafından il içi isteğe bağlı yer değişikliği hususunda yapılacak açıklamalar ile Müdürlüğümüzce yapılacak ek duyurular </w:t>
      </w:r>
      <w:hyperlink r:id="rId14" w:history="1">
        <w:r w:rsidRPr="005053AE">
          <w:rPr>
            <w:rStyle w:val="Kpr"/>
            <w:rFonts w:ascii="Times New Roman" w:hAnsi="Times New Roman" w:cs="Times New Roman"/>
            <w:sz w:val="24"/>
            <w:szCs w:val="24"/>
          </w:rPr>
          <w:t>http://tokat.meb.gov.tr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yayınlanacak, yer değişikliği işlemleri yeni duruma göre yapılacaktır.</w:t>
      </w: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Default="00964326" w:rsidP="00964326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64326" w:rsidRPr="00964326" w:rsidRDefault="00F25DBF" w:rsidP="00964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11-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964326" w:rsidRPr="00964326">
        <w:rPr>
          <w:rFonts w:ascii="Times New Roman" w:hAnsi="Times New Roman" w:cs="Times New Roman"/>
          <w:b/>
          <w:sz w:val="24"/>
          <w:szCs w:val="24"/>
          <w:highlight w:val="lightGray"/>
        </w:rPr>
        <w:t>ÇALIŞMA TAKVİMİ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64"/>
        <w:gridCol w:w="4216"/>
      </w:tblGrid>
      <w:tr w:rsidR="00964326" w:rsidTr="00744FDF">
        <w:tc>
          <w:tcPr>
            <w:tcW w:w="4964" w:type="dxa"/>
          </w:tcPr>
          <w:p w:rsidR="00744FDF" w:rsidRDefault="00744FDF" w:rsidP="00B2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326" w:rsidRDefault="00964326" w:rsidP="00B2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Yapılacak İş ve İşlemler</w:t>
            </w:r>
          </w:p>
          <w:p w:rsidR="00744FDF" w:rsidRDefault="00744FDF" w:rsidP="00B2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744FDF" w:rsidRDefault="00744FDF" w:rsidP="00B2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326" w:rsidRDefault="00964326" w:rsidP="00B2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964326" w:rsidTr="00744FDF">
        <w:tc>
          <w:tcPr>
            <w:tcW w:w="4964" w:type="dxa"/>
          </w:tcPr>
          <w:p w:rsidR="00B23207" w:rsidRDefault="00B23207" w:rsidP="0096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6" w:rsidRDefault="00964326" w:rsidP="0096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 Yapılması/Kılavuzun Yayınlanması Okul Kurumlar Tarafından Başvuruların Alınması</w:t>
            </w:r>
          </w:p>
          <w:p w:rsidR="00B23207" w:rsidRPr="00964326" w:rsidRDefault="00B23207" w:rsidP="0096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207" w:rsidRDefault="00CB1E5F" w:rsidP="00CB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 Mayıs 2024</w:t>
            </w:r>
          </w:p>
        </w:tc>
      </w:tr>
      <w:tr w:rsidR="00964326" w:rsidTr="00744FDF">
        <w:tc>
          <w:tcPr>
            <w:tcW w:w="4964" w:type="dxa"/>
          </w:tcPr>
          <w:p w:rsid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26">
              <w:rPr>
                <w:rFonts w:ascii="Times New Roman" w:hAnsi="Times New Roman" w:cs="Times New Roman"/>
                <w:sz w:val="24"/>
                <w:szCs w:val="24"/>
              </w:rPr>
              <w:t>Başvuru Evraklarının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 Milli Eğitim Müdürlüğüne Elden Teslim Edilmesi</w:t>
            </w:r>
          </w:p>
          <w:p w:rsidR="00B23207" w:rsidRPr="00964326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5F" w:rsidRDefault="00CB1E5F" w:rsidP="00CB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Mayıs 2024</w:t>
            </w:r>
          </w:p>
          <w:p w:rsidR="00CB1E5F" w:rsidRPr="00CB1E5F" w:rsidRDefault="00CB1E5F" w:rsidP="00CB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mesai bitimine kadar</w:t>
            </w:r>
            <w:r w:rsidRPr="00CB1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4326" w:rsidTr="00744FDF">
        <w:tc>
          <w:tcPr>
            <w:tcW w:w="4964" w:type="dxa"/>
          </w:tcPr>
          <w:p w:rsid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6" w:rsidRDefault="00B23207" w:rsidP="00B2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07">
              <w:rPr>
                <w:rFonts w:ascii="Times New Roman" w:hAnsi="Times New Roman" w:cs="Times New Roman"/>
                <w:sz w:val="24"/>
                <w:szCs w:val="24"/>
              </w:rPr>
              <w:t xml:space="preserve">Başvuruların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Değerlendirilmesi, Atamaların Yapılması ve Elektronik Ortamda İlanı</w:t>
            </w:r>
          </w:p>
          <w:p w:rsidR="00B23207" w:rsidRP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5F" w:rsidRDefault="00CB1E5F" w:rsidP="009C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C6D52">
              <w:rPr>
                <w:rFonts w:ascii="Times New Roman" w:hAnsi="Times New Roman" w:cs="Times New Roman"/>
                <w:b/>
                <w:sz w:val="24"/>
                <w:szCs w:val="24"/>
              </w:rPr>
              <w:t>-30-31</w:t>
            </w:r>
            <w:r w:rsidR="00E6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964326" w:rsidTr="00744FDF">
        <w:tc>
          <w:tcPr>
            <w:tcW w:w="4964" w:type="dxa"/>
          </w:tcPr>
          <w:p w:rsid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6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07">
              <w:rPr>
                <w:rFonts w:ascii="Times New Roman" w:hAnsi="Times New Roman" w:cs="Times New Roman"/>
                <w:sz w:val="24"/>
                <w:szCs w:val="24"/>
              </w:rPr>
              <w:t xml:space="preserve">İtirazların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</w:p>
          <w:p w:rsidR="00B23207" w:rsidRP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5F" w:rsidRDefault="009C6D52" w:rsidP="00CB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2024</w:t>
            </w:r>
          </w:p>
        </w:tc>
      </w:tr>
      <w:tr w:rsidR="00964326" w:rsidTr="00744FDF">
        <w:tc>
          <w:tcPr>
            <w:tcW w:w="4964" w:type="dxa"/>
          </w:tcPr>
          <w:p w:rsid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6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07">
              <w:rPr>
                <w:rFonts w:ascii="Times New Roman" w:hAnsi="Times New Roman" w:cs="Times New Roman"/>
                <w:sz w:val="24"/>
                <w:szCs w:val="24"/>
              </w:rPr>
              <w:t>Ayrılma/Başlama İşlemlerin Yapılması</w:t>
            </w:r>
          </w:p>
          <w:p w:rsidR="00B23207" w:rsidRPr="00B23207" w:rsidRDefault="00B23207" w:rsidP="00881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964326" w:rsidRDefault="00964326" w:rsidP="00881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5F" w:rsidRDefault="009C6D52" w:rsidP="00CB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2024 </w:t>
            </w:r>
          </w:p>
          <w:p w:rsidR="00CB1E5F" w:rsidRDefault="00CB1E5F" w:rsidP="00CB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tarihinden itibaren yasal süresi içerisinde</w:t>
            </w:r>
          </w:p>
          <w:p w:rsidR="0081692E" w:rsidRPr="00CB1E5F" w:rsidRDefault="0081692E" w:rsidP="00CB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26" w:rsidRPr="00964326" w:rsidRDefault="00964326" w:rsidP="0088193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4326" w:rsidRPr="00964326" w:rsidSect="0043514F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4F" w:rsidRDefault="009B5E4F" w:rsidP="00DB4E32">
      <w:pPr>
        <w:spacing w:after="0" w:line="240" w:lineRule="auto"/>
      </w:pPr>
      <w:r>
        <w:separator/>
      </w:r>
    </w:p>
  </w:endnote>
  <w:endnote w:type="continuationSeparator" w:id="0">
    <w:p w:rsidR="009B5E4F" w:rsidRDefault="009B5E4F" w:rsidP="00DB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4235"/>
      <w:docPartObj>
        <w:docPartGallery w:val="Page Numbers (Bottom of Page)"/>
        <w:docPartUnique/>
      </w:docPartObj>
    </w:sdtPr>
    <w:sdtEndPr/>
    <w:sdtContent>
      <w:p w:rsidR="00DB4E32" w:rsidRDefault="00DB4E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25">
          <w:rPr>
            <w:noProof/>
          </w:rPr>
          <w:t>1</w:t>
        </w:r>
        <w:r>
          <w:fldChar w:fldCharType="end"/>
        </w:r>
      </w:p>
    </w:sdtContent>
  </w:sdt>
  <w:p w:rsidR="00DB4E32" w:rsidRDefault="00DB4E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4F" w:rsidRDefault="009B5E4F" w:rsidP="00DB4E32">
      <w:pPr>
        <w:spacing w:after="0" w:line="240" w:lineRule="auto"/>
      </w:pPr>
      <w:r>
        <w:separator/>
      </w:r>
    </w:p>
  </w:footnote>
  <w:footnote w:type="continuationSeparator" w:id="0">
    <w:p w:rsidR="009B5E4F" w:rsidRDefault="009B5E4F" w:rsidP="00DB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433E"/>
    <w:multiLevelType w:val="multilevel"/>
    <w:tmpl w:val="96A484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C0"/>
    <w:rsid w:val="000151CB"/>
    <w:rsid w:val="00293EA3"/>
    <w:rsid w:val="002D3B5E"/>
    <w:rsid w:val="00341531"/>
    <w:rsid w:val="00361532"/>
    <w:rsid w:val="003C5C2B"/>
    <w:rsid w:val="003D0E3F"/>
    <w:rsid w:val="0043514F"/>
    <w:rsid w:val="004410A7"/>
    <w:rsid w:val="004A1548"/>
    <w:rsid w:val="00551F15"/>
    <w:rsid w:val="00594DEF"/>
    <w:rsid w:val="005F0C4F"/>
    <w:rsid w:val="006A5917"/>
    <w:rsid w:val="00721390"/>
    <w:rsid w:val="00744FDF"/>
    <w:rsid w:val="00750472"/>
    <w:rsid w:val="00807BDA"/>
    <w:rsid w:val="0081692E"/>
    <w:rsid w:val="00827A44"/>
    <w:rsid w:val="0088193E"/>
    <w:rsid w:val="00964326"/>
    <w:rsid w:val="00995BB7"/>
    <w:rsid w:val="009B5E4F"/>
    <w:rsid w:val="009B6304"/>
    <w:rsid w:val="009C0525"/>
    <w:rsid w:val="009C6D52"/>
    <w:rsid w:val="00A0294F"/>
    <w:rsid w:val="00A76988"/>
    <w:rsid w:val="00AA09E0"/>
    <w:rsid w:val="00AF4B42"/>
    <w:rsid w:val="00B068C9"/>
    <w:rsid w:val="00B1366B"/>
    <w:rsid w:val="00B13A7C"/>
    <w:rsid w:val="00B169F3"/>
    <w:rsid w:val="00B23207"/>
    <w:rsid w:val="00B25DC0"/>
    <w:rsid w:val="00B84116"/>
    <w:rsid w:val="00B95A93"/>
    <w:rsid w:val="00C4035C"/>
    <w:rsid w:val="00CB1E5F"/>
    <w:rsid w:val="00D677CD"/>
    <w:rsid w:val="00DA2C25"/>
    <w:rsid w:val="00DB4E32"/>
    <w:rsid w:val="00DF20D9"/>
    <w:rsid w:val="00DF302C"/>
    <w:rsid w:val="00E317B2"/>
    <w:rsid w:val="00E64186"/>
    <w:rsid w:val="00E86A19"/>
    <w:rsid w:val="00EB5E84"/>
    <w:rsid w:val="00ED0C53"/>
    <w:rsid w:val="00F25DBF"/>
    <w:rsid w:val="00F87BA1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068C9"/>
    <w:pPr>
      <w:ind w:left="720"/>
      <w:contextualSpacing/>
    </w:pPr>
  </w:style>
  <w:style w:type="paragraph" w:styleId="AralkYok">
    <w:name w:val="No Spacing"/>
    <w:uiPriority w:val="1"/>
    <w:qFormat/>
    <w:rsid w:val="00DF30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169F3"/>
    <w:rPr>
      <w:color w:val="0000FF" w:themeColor="hyperlink"/>
      <w:u w:val="single"/>
    </w:rPr>
  </w:style>
  <w:style w:type="paragraph" w:customStyle="1" w:styleId="Default">
    <w:name w:val="Default"/>
    <w:rsid w:val="00995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95BB7"/>
    <w:pPr>
      <w:spacing w:line="256" w:lineRule="atLeast"/>
    </w:pPr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D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E32"/>
  </w:style>
  <w:style w:type="paragraph" w:styleId="Altbilgi">
    <w:name w:val="footer"/>
    <w:basedOn w:val="Normal"/>
    <w:link w:val="AltbilgiChar"/>
    <w:uiPriority w:val="99"/>
    <w:unhideWhenUsed/>
    <w:rsid w:val="00D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068C9"/>
    <w:pPr>
      <w:ind w:left="720"/>
      <w:contextualSpacing/>
    </w:pPr>
  </w:style>
  <w:style w:type="paragraph" w:styleId="AralkYok">
    <w:name w:val="No Spacing"/>
    <w:uiPriority w:val="1"/>
    <w:qFormat/>
    <w:rsid w:val="00DF30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169F3"/>
    <w:rPr>
      <w:color w:val="0000FF" w:themeColor="hyperlink"/>
      <w:u w:val="single"/>
    </w:rPr>
  </w:style>
  <w:style w:type="paragraph" w:customStyle="1" w:styleId="Default">
    <w:name w:val="Default"/>
    <w:rsid w:val="00995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95BB7"/>
    <w:pPr>
      <w:spacing w:line="256" w:lineRule="atLeast"/>
    </w:pPr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D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E32"/>
  </w:style>
  <w:style w:type="paragraph" w:styleId="Altbilgi">
    <w:name w:val="footer"/>
    <w:basedOn w:val="Normal"/>
    <w:link w:val="AltbilgiChar"/>
    <w:uiPriority w:val="99"/>
    <w:unhideWhenUsed/>
    <w:rsid w:val="00D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kat.meb.gov.t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tama60@meb.gov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kat.meb.gov.t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tokat.meb.gov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okat.me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8A78-DA91-49CA-AEE8-4749173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E.DuduDURAN</dc:creator>
  <cp:lastModifiedBy>E.DuduDURAN</cp:lastModifiedBy>
  <cp:revision>2</cp:revision>
  <dcterms:created xsi:type="dcterms:W3CDTF">2024-05-15T10:41:00Z</dcterms:created>
  <dcterms:modified xsi:type="dcterms:W3CDTF">2024-05-15T10:41:00Z</dcterms:modified>
</cp:coreProperties>
</file>